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09BBDDBC" w14:textId="77777777" w:rsidR="00120F0A" w:rsidRPr="009546E7" w:rsidRDefault="00120F0A" w:rsidP="00120F0A">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073622A2" w14:textId="77777777" w:rsidR="00120F0A" w:rsidRPr="009546E7" w:rsidRDefault="00120F0A" w:rsidP="00120F0A">
      <w:pPr>
        <w:spacing w:after="0"/>
        <w:jc w:val="both"/>
        <w:rPr>
          <w:sz w:val="20"/>
          <w:szCs w:val="20"/>
        </w:rPr>
      </w:pPr>
    </w:p>
    <w:p w14:paraId="4802D999" w14:textId="0E8E9337" w:rsidR="006B67BC" w:rsidRDefault="00120F0A" w:rsidP="00120F0A">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5412B4D0" w14:textId="1B33D693" w:rsidR="005D330A" w:rsidRDefault="00975A34" w:rsidP="00E83696">
      <w:pPr>
        <w:pStyle w:val="Prrafodelista"/>
        <w:spacing w:after="0"/>
        <w:ind w:left="360"/>
        <w:jc w:val="both"/>
        <w:rPr>
          <w:sz w:val="20"/>
          <w:szCs w:val="20"/>
        </w:rPr>
      </w:pPr>
      <w:r w:rsidRPr="00975A34">
        <w:rPr>
          <w:sz w:val="20"/>
          <w:szCs w:val="20"/>
        </w:rPr>
        <w:t xml:space="preserve">Porcentaje de </w:t>
      </w:r>
      <w:r w:rsidRPr="00E83696">
        <w:rPr>
          <w:sz w:val="20"/>
          <w:szCs w:val="20"/>
        </w:rPr>
        <w:t>procesos</w:t>
      </w:r>
      <w:r w:rsidR="00FE1738">
        <w:rPr>
          <w:sz w:val="20"/>
          <w:szCs w:val="20"/>
        </w:rPr>
        <w:t xml:space="preserve"> de producción </w:t>
      </w:r>
      <w:r w:rsidRPr="00975A34">
        <w:rPr>
          <w:sz w:val="20"/>
          <w:szCs w:val="20"/>
        </w:rPr>
        <w:t>publicados en el sitio del INEGI en internet cuya fecha de publicación se comprometió en el Calendario de difusión de información estadística y geográfica y de Interés Nacional del INEGI.</w:t>
      </w:r>
    </w:p>
    <w:p w14:paraId="5E426232" w14:textId="77777777" w:rsidR="00975A34" w:rsidRDefault="00975A34"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3B7A212A" w:rsidR="00E60F03" w:rsidRDefault="00E60F03" w:rsidP="00E60F03">
      <w:pPr>
        <w:pStyle w:val="Prrafodelista"/>
        <w:spacing w:after="0"/>
        <w:ind w:left="360"/>
        <w:rPr>
          <w:sz w:val="20"/>
          <w:szCs w:val="20"/>
        </w:rPr>
      </w:pPr>
      <w:r w:rsidRPr="00E60F03">
        <w:rPr>
          <w:sz w:val="20"/>
          <w:szCs w:val="20"/>
        </w:rPr>
        <w:t>Acuerdo CAC- 00</w:t>
      </w:r>
      <w:r w:rsidR="005D330A">
        <w:rPr>
          <w:sz w:val="20"/>
          <w:szCs w:val="20"/>
        </w:rPr>
        <w:t>4</w:t>
      </w:r>
      <w:r w:rsidRPr="00E60F03">
        <w:rPr>
          <w:sz w:val="20"/>
          <w:szCs w:val="20"/>
        </w:rPr>
        <w:t>/0</w:t>
      </w:r>
      <w:r w:rsidR="00975A34">
        <w:rPr>
          <w:sz w:val="20"/>
          <w:szCs w:val="20"/>
        </w:rPr>
        <w:t>3</w:t>
      </w:r>
      <w:r w:rsidRPr="00E60F03">
        <w:rPr>
          <w:sz w:val="20"/>
          <w:szCs w:val="20"/>
        </w:rPr>
        <w:t>/201</w:t>
      </w:r>
      <w:r w:rsidR="00975A34">
        <w:rPr>
          <w:sz w:val="20"/>
          <w:szCs w:val="20"/>
        </w:rPr>
        <w:t>7</w:t>
      </w:r>
      <w:r w:rsidRPr="00E60F03">
        <w:rPr>
          <w:sz w:val="20"/>
          <w:szCs w:val="20"/>
        </w:rPr>
        <w:t xml:space="preserve"> en la </w:t>
      </w:r>
      <w:r w:rsidR="00975A34">
        <w:rPr>
          <w:sz w:val="20"/>
          <w:szCs w:val="20"/>
        </w:rPr>
        <w:t>tercera</w:t>
      </w:r>
      <w:r w:rsidRPr="00E60F03">
        <w:rPr>
          <w:sz w:val="20"/>
          <w:szCs w:val="20"/>
        </w:rPr>
        <w:t xml:space="preserve"> sesión del 201</w:t>
      </w:r>
      <w:r w:rsidR="00975A34">
        <w:rPr>
          <w:sz w:val="20"/>
          <w:szCs w:val="20"/>
        </w:rPr>
        <w:t>7</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77CD3399" w:rsidR="00E60F03" w:rsidRDefault="00975A34" w:rsidP="00E60F03">
      <w:pPr>
        <w:pStyle w:val="Prrafodelista"/>
        <w:spacing w:after="0"/>
        <w:ind w:left="360"/>
        <w:rPr>
          <w:sz w:val="20"/>
          <w:szCs w:val="20"/>
        </w:rPr>
      </w:pPr>
      <w:r w:rsidRPr="00975A34">
        <w:rPr>
          <w:sz w:val="20"/>
          <w:szCs w:val="20"/>
        </w:rPr>
        <w:t>El indicador se calculará a partir de enero de 2018 para los procesos</w:t>
      </w:r>
      <w:r>
        <w:rPr>
          <w:sz w:val="20"/>
          <w:szCs w:val="20"/>
        </w:rPr>
        <w:t xml:space="preserve"> de producción</w:t>
      </w:r>
      <w:r w:rsidRPr="00975A34">
        <w:rPr>
          <w:sz w:val="20"/>
          <w:szCs w:val="20"/>
        </w:rPr>
        <w:t xml:space="preserve"> concluidos en el 2017.</w:t>
      </w:r>
    </w:p>
    <w:p w14:paraId="425C1823" w14:textId="77777777" w:rsidR="005D330A" w:rsidRPr="00E60F03" w:rsidRDefault="005D330A"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03C7A1C6" w:rsidR="00E60F03" w:rsidRDefault="005D330A" w:rsidP="00E60F03">
      <w:pPr>
        <w:pStyle w:val="Prrafodelista"/>
        <w:spacing w:after="0"/>
        <w:ind w:left="360"/>
        <w:rPr>
          <w:sz w:val="20"/>
          <w:szCs w:val="20"/>
        </w:rPr>
      </w:pPr>
      <w:r>
        <w:rPr>
          <w:sz w:val="20"/>
          <w:szCs w:val="20"/>
        </w:rPr>
        <w:t>Oportunidad y puntualidad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4C165E46" w14:textId="4AF2A8D7" w:rsidR="00975A34" w:rsidRDefault="00975A34" w:rsidP="00975A34">
      <w:pPr>
        <w:pStyle w:val="Prrafodelista"/>
        <w:spacing w:after="0"/>
        <w:ind w:left="360"/>
        <w:rPr>
          <w:sz w:val="20"/>
          <w:szCs w:val="20"/>
        </w:rPr>
      </w:pPr>
      <w:r w:rsidRPr="00975A34">
        <w:rPr>
          <w:sz w:val="20"/>
          <w:szCs w:val="20"/>
        </w:rPr>
        <w:t>I</w:t>
      </w:r>
      <w:r>
        <w:rPr>
          <w:sz w:val="20"/>
          <w:szCs w:val="20"/>
        </w:rPr>
        <w:t>n</w:t>
      </w:r>
      <w:r w:rsidRPr="00975A34">
        <w:rPr>
          <w:sz w:val="20"/>
          <w:szCs w:val="20"/>
        </w:rPr>
        <w:t>terno</w:t>
      </w:r>
    </w:p>
    <w:p w14:paraId="3B8C8CEB" w14:textId="77777777" w:rsidR="00975A34" w:rsidRPr="00975A34" w:rsidRDefault="00975A34" w:rsidP="00975A34">
      <w:pPr>
        <w:pStyle w:val="Prrafodelista"/>
        <w:spacing w:after="0"/>
        <w:ind w:left="360"/>
        <w:rPr>
          <w:sz w:val="20"/>
          <w:szCs w:val="20"/>
        </w:rPr>
      </w:pPr>
    </w:p>
    <w:p w14:paraId="1AF3949F" w14:textId="79AE4E8E" w:rsidR="00975A34" w:rsidRDefault="00975A34" w:rsidP="009546E7">
      <w:pPr>
        <w:pStyle w:val="Prrafodelista"/>
        <w:numPr>
          <w:ilvl w:val="1"/>
          <w:numId w:val="2"/>
        </w:numPr>
        <w:spacing w:after="0"/>
        <w:rPr>
          <w:b/>
          <w:bCs/>
          <w:sz w:val="20"/>
          <w:szCs w:val="20"/>
        </w:rPr>
      </w:pPr>
      <w:r>
        <w:rPr>
          <w:b/>
          <w:bCs/>
          <w:sz w:val="20"/>
          <w:szCs w:val="20"/>
        </w:rPr>
        <w:t>Procesos de producción para los cuales no aplica el cálculo de este indicador</w:t>
      </w:r>
    </w:p>
    <w:p w14:paraId="2AF39351" w14:textId="16F091C3" w:rsidR="00E60F03" w:rsidRDefault="00975A34" w:rsidP="00975A34">
      <w:pPr>
        <w:pStyle w:val="Prrafodelista"/>
        <w:spacing w:after="0"/>
        <w:ind w:left="360"/>
        <w:jc w:val="both"/>
        <w:rPr>
          <w:sz w:val="20"/>
          <w:szCs w:val="20"/>
        </w:rPr>
      </w:pPr>
      <w:r w:rsidRPr="00975A34">
        <w:rPr>
          <w:sz w:val="20"/>
          <w:szCs w:val="20"/>
        </w:rPr>
        <w:t>Los procesos</w:t>
      </w:r>
      <w:r>
        <w:rPr>
          <w:sz w:val="20"/>
          <w:szCs w:val="20"/>
        </w:rPr>
        <w:t xml:space="preserve"> de producción</w:t>
      </w:r>
      <w:r w:rsidRPr="00975A34">
        <w:rPr>
          <w:sz w:val="20"/>
          <w:szCs w:val="20"/>
        </w:rPr>
        <w:t xml:space="preserve"> que se realizan </w:t>
      </w:r>
      <w:r>
        <w:rPr>
          <w:sz w:val="20"/>
          <w:szCs w:val="20"/>
        </w:rPr>
        <w:t>en</w:t>
      </w:r>
      <w:r w:rsidRPr="00975A34">
        <w:rPr>
          <w:sz w:val="20"/>
          <w:szCs w:val="20"/>
        </w:rPr>
        <w:t xml:space="preserve"> cofinanciamiento </w:t>
      </w:r>
      <w:r>
        <w:rPr>
          <w:sz w:val="20"/>
          <w:szCs w:val="20"/>
        </w:rPr>
        <w:t>con</w:t>
      </w:r>
      <w:r w:rsidRPr="00975A34">
        <w:rPr>
          <w:sz w:val="20"/>
          <w:szCs w:val="20"/>
        </w:rPr>
        <w:t xml:space="preserve"> otra institución u organismo y no son Información de Interés Nacional. Sin embargo, se reportará la lista de estos procesos</w:t>
      </w:r>
      <w:r w:rsidR="00FE1738">
        <w:rPr>
          <w:sz w:val="20"/>
          <w:szCs w:val="20"/>
        </w:rPr>
        <w:t xml:space="preserve"> de producción</w:t>
      </w:r>
      <w:r w:rsidRPr="00975A34">
        <w:rPr>
          <w:sz w:val="20"/>
          <w:szCs w:val="20"/>
        </w:rPr>
        <w:t xml:space="preserve"> y sus fechas de publicación en el sitio del INEGI en Internet.</w:t>
      </w:r>
    </w:p>
    <w:p w14:paraId="4C24B24C" w14:textId="77777777" w:rsidR="00975A34" w:rsidRPr="00E60F03" w:rsidRDefault="00975A34" w:rsidP="00E60F03">
      <w:pPr>
        <w:pStyle w:val="Prrafodelista"/>
        <w:spacing w:after="0"/>
        <w:ind w:left="360"/>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35B6EAB0" w14:textId="2A6B4F84" w:rsidR="00E60F03" w:rsidRDefault="00E60F03" w:rsidP="00E60F03">
      <w:pPr>
        <w:pStyle w:val="Prrafodelista"/>
        <w:spacing w:after="0"/>
        <w:ind w:left="360"/>
        <w:rPr>
          <w:sz w:val="20"/>
          <w:szCs w:val="20"/>
        </w:rPr>
      </w:pPr>
      <w:r w:rsidRPr="00E60F03">
        <w:rPr>
          <w:sz w:val="20"/>
          <w:szCs w:val="20"/>
        </w:rPr>
        <w:t>Metodología propia</w:t>
      </w:r>
    </w:p>
    <w:p w14:paraId="551C97CC" w14:textId="77777777" w:rsidR="00335E4E" w:rsidRDefault="00335E4E" w:rsidP="00E60F03">
      <w:pPr>
        <w:pStyle w:val="Prrafodelista"/>
        <w:spacing w:after="0"/>
        <w:ind w:left="360"/>
        <w:rPr>
          <w:sz w:val="20"/>
          <w:szCs w:val="20"/>
        </w:rPr>
      </w:pPr>
    </w:p>
    <w:p w14:paraId="7FD9AC93" w14:textId="77777777" w:rsidR="00975A34" w:rsidRDefault="00975A34" w:rsidP="00E60F03">
      <w:pPr>
        <w:pStyle w:val="Prrafodelista"/>
        <w:spacing w:after="0"/>
        <w:ind w:left="360"/>
        <w:rPr>
          <w:sz w:val="20"/>
          <w:szCs w:val="20"/>
        </w:rPr>
      </w:pPr>
    </w:p>
    <w:p w14:paraId="5EC865D8" w14:textId="77777777" w:rsidR="006B67BC" w:rsidRDefault="006B67BC" w:rsidP="00E60F03">
      <w:pPr>
        <w:pStyle w:val="Prrafodelista"/>
        <w:spacing w:after="0"/>
        <w:ind w:left="360"/>
        <w:rPr>
          <w:sz w:val="20"/>
          <w:szCs w:val="20"/>
        </w:rPr>
      </w:pPr>
    </w:p>
    <w:p w14:paraId="69AFEE04" w14:textId="77777777" w:rsidR="006B67BC" w:rsidRPr="00E60F03" w:rsidRDefault="006B67BC" w:rsidP="00E60F03">
      <w:pPr>
        <w:pStyle w:val="Prrafodelista"/>
        <w:spacing w:after="0"/>
        <w:ind w:left="360"/>
        <w:rPr>
          <w:sz w:val="20"/>
          <w:szCs w:val="20"/>
        </w:rPr>
      </w:pPr>
    </w:p>
    <w:p w14:paraId="5E2D69CE" w14:textId="501CB014" w:rsidR="00E60F03" w:rsidRDefault="002F23C7" w:rsidP="009546E7">
      <w:pPr>
        <w:pStyle w:val="Prrafodelista"/>
        <w:numPr>
          <w:ilvl w:val="1"/>
          <w:numId w:val="2"/>
        </w:numPr>
        <w:spacing w:after="0"/>
        <w:rPr>
          <w:b/>
          <w:bCs/>
          <w:sz w:val="20"/>
          <w:szCs w:val="20"/>
        </w:rPr>
      </w:pPr>
      <w:r>
        <w:rPr>
          <w:b/>
          <w:bCs/>
          <w:sz w:val="20"/>
          <w:szCs w:val="20"/>
        </w:rPr>
        <w:lastRenderedPageBreak/>
        <w:t>Persona(s) participante(s)</w:t>
      </w:r>
      <w:r w:rsidR="00E60F03">
        <w:rPr>
          <w:b/>
          <w:bCs/>
          <w:sz w:val="20"/>
          <w:szCs w:val="20"/>
        </w:rPr>
        <w:t xml:space="preserve"> en la integración </w:t>
      </w:r>
      <w:r w:rsidR="009637DB">
        <w:rPr>
          <w:b/>
          <w:bCs/>
          <w:sz w:val="20"/>
          <w:szCs w:val="20"/>
        </w:rPr>
        <w:t>de la ficha del indicador</w:t>
      </w:r>
      <w:r w:rsidR="00E60F03">
        <w:rPr>
          <w:b/>
          <w:bCs/>
          <w:sz w:val="20"/>
          <w:szCs w:val="20"/>
        </w:rPr>
        <w:t>:</w:t>
      </w:r>
    </w:p>
    <w:p w14:paraId="2E409AF4" w14:textId="44453504" w:rsidR="00E60F03" w:rsidRDefault="00E60F03" w:rsidP="00E60F03">
      <w:pPr>
        <w:pStyle w:val="Prrafodelista"/>
        <w:spacing w:after="0"/>
        <w:ind w:left="360"/>
        <w:rPr>
          <w:sz w:val="20"/>
          <w:szCs w:val="20"/>
        </w:rPr>
      </w:pPr>
      <w:r>
        <w:rPr>
          <w:b/>
          <w:bCs/>
          <w:sz w:val="20"/>
          <w:szCs w:val="20"/>
        </w:rPr>
        <w:t xml:space="preserve">Unidad Administrativa o Grupo de trabajo.- </w:t>
      </w:r>
      <w:r w:rsidR="00975A34" w:rsidRPr="00975A34">
        <w:rPr>
          <w:sz w:val="20"/>
          <w:szCs w:val="20"/>
        </w:rPr>
        <w:t>Dirección de Servicios de Información, DGVSPI y Dirección de Aseguramiento de la Calidad, DGIAI.</w:t>
      </w:r>
    </w:p>
    <w:p w14:paraId="1808D9E7" w14:textId="2248709B" w:rsidR="00040CD1" w:rsidRDefault="00975A34" w:rsidP="00E60F03">
      <w:pPr>
        <w:pStyle w:val="Prrafodelista"/>
        <w:spacing w:after="0"/>
        <w:ind w:left="360"/>
        <w:rPr>
          <w:sz w:val="20"/>
          <w:szCs w:val="20"/>
        </w:rPr>
      </w:pPr>
      <w:r w:rsidRPr="00975A34">
        <w:rPr>
          <w:sz w:val="20"/>
          <w:szCs w:val="20"/>
        </w:rPr>
        <w:t>Jesús Armando Aguiar Rodríguez</w:t>
      </w:r>
      <w:r w:rsidR="00040CD1">
        <w:rPr>
          <w:sz w:val="20"/>
          <w:szCs w:val="20"/>
        </w:rPr>
        <w:t>, d</w:t>
      </w:r>
      <w:r w:rsidR="00040CD1" w:rsidRPr="00040CD1">
        <w:rPr>
          <w:sz w:val="20"/>
          <w:szCs w:val="20"/>
        </w:rPr>
        <w:t>irec</w:t>
      </w:r>
      <w:r w:rsidR="00966BB7">
        <w:rPr>
          <w:sz w:val="20"/>
          <w:szCs w:val="20"/>
        </w:rPr>
        <w:t>tor</w:t>
      </w:r>
      <w:r w:rsidR="00040CD1" w:rsidRPr="00040CD1">
        <w:rPr>
          <w:sz w:val="20"/>
          <w:szCs w:val="20"/>
        </w:rPr>
        <w:t xml:space="preserve"> de Servicios de Información</w:t>
      </w:r>
      <w:r w:rsidR="00966BB7">
        <w:rPr>
          <w:sz w:val="20"/>
          <w:szCs w:val="20"/>
        </w:rPr>
        <w:t>.</w:t>
      </w:r>
    </w:p>
    <w:p w14:paraId="07C1CB61" w14:textId="7B1CAF49" w:rsidR="00966BB7" w:rsidRDefault="00975A34" w:rsidP="00E60F03">
      <w:pPr>
        <w:pStyle w:val="Prrafodelista"/>
        <w:spacing w:after="0"/>
        <w:ind w:left="360"/>
        <w:rPr>
          <w:sz w:val="20"/>
          <w:szCs w:val="20"/>
        </w:rPr>
      </w:pPr>
      <w:r>
        <w:rPr>
          <w:sz w:val="20"/>
          <w:szCs w:val="20"/>
        </w:rPr>
        <w:t>Gloria Martha Rubio Soto</w:t>
      </w:r>
      <w:r w:rsidR="00966BB7">
        <w:rPr>
          <w:sz w:val="20"/>
          <w:szCs w:val="20"/>
        </w:rPr>
        <w:t xml:space="preserve">, </w:t>
      </w:r>
      <w:r>
        <w:rPr>
          <w:sz w:val="20"/>
          <w:szCs w:val="20"/>
        </w:rPr>
        <w:t>d</w:t>
      </w:r>
      <w:r w:rsidRPr="00975A34">
        <w:rPr>
          <w:sz w:val="20"/>
          <w:szCs w:val="20"/>
        </w:rPr>
        <w:t>irec</w:t>
      </w:r>
      <w:r>
        <w:rPr>
          <w:sz w:val="20"/>
          <w:szCs w:val="20"/>
        </w:rPr>
        <w:t>tora</w:t>
      </w:r>
      <w:r w:rsidRPr="00975A34">
        <w:rPr>
          <w:sz w:val="20"/>
          <w:szCs w:val="20"/>
        </w:rPr>
        <w:t xml:space="preserve"> de Aseguramiento de la Calidad, DGIAI</w:t>
      </w:r>
      <w:r w:rsidR="00966BB7">
        <w:rPr>
          <w:sz w:val="20"/>
          <w:szCs w:val="20"/>
        </w:rPr>
        <w:t>.</w:t>
      </w:r>
    </w:p>
    <w:p w14:paraId="334AF3FF" w14:textId="77777777" w:rsidR="00040CD1" w:rsidRPr="00464252" w:rsidRDefault="00040CD1" w:rsidP="00E60F03">
      <w:pPr>
        <w:pStyle w:val="Prrafodelista"/>
        <w:spacing w:after="0"/>
        <w:ind w:left="360"/>
        <w:rPr>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0EF0C52F" w14:textId="1CC293B1" w:rsidR="00100E12" w:rsidRPr="00100E12" w:rsidRDefault="00100E12" w:rsidP="00100E12">
      <w:pPr>
        <w:pStyle w:val="Prrafodelista"/>
        <w:spacing w:after="0"/>
        <w:ind w:left="360"/>
        <w:rPr>
          <w:sz w:val="20"/>
          <w:szCs w:val="20"/>
        </w:rPr>
      </w:pPr>
      <w:r w:rsidRPr="00100E12">
        <w:rPr>
          <w:sz w:val="20"/>
          <w:szCs w:val="20"/>
        </w:rPr>
        <w:t>Sitio del Comité de Aseguramiento de la Calidad</w:t>
      </w:r>
      <w:r w:rsidR="00EE62C9">
        <w:rPr>
          <w:sz w:val="20"/>
          <w:szCs w:val="20"/>
        </w:rPr>
        <w:t xml:space="preserve">, </w:t>
      </w:r>
      <w:r w:rsidRPr="00EE62C9">
        <w:rPr>
          <w:sz w:val="20"/>
          <w:szCs w:val="20"/>
          <w:u w:val="single"/>
        </w:rPr>
        <w:t>Informe de Resultados del Comité de Aseguramiento de la Calidad</w:t>
      </w:r>
    </w:p>
    <w:p w14:paraId="459AF3E2" w14:textId="77777777" w:rsidR="00100E12" w:rsidRPr="00100E12" w:rsidRDefault="00100E12"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215FC3EB" w:rsidR="00100E12" w:rsidRDefault="00975A34" w:rsidP="00100E12">
      <w:pPr>
        <w:pStyle w:val="Prrafodelista"/>
        <w:spacing w:after="0"/>
        <w:ind w:left="360"/>
        <w:rPr>
          <w:sz w:val="20"/>
          <w:szCs w:val="20"/>
        </w:rPr>
      </w:pPr>
      <w:r>
        <w:rPr>
          <w:sz w:val="20"/>
          <w:szCs w:val="20"/>
        </w:rPr>
        <w:t>20</w:t>
      </w:r>
      <w:r w:rsidR="00100E12" w:rsidRPr="00100E12">
        <w:rPr>
          <w:sz w:val="20"/>
          <w:szCs w:val="20"/>
        </w:rPr>
        <w:t>/1</w:t>
      </w:r>
      <w:r>
        <w:rPr>
          <w:sz w:val="20"/>
          <w:szCs w:val="20"/>
        </w:rPr>
        <w:t>0</w:t>
      </w:r>
      <w:r w:rsidR="00100E12" w:rsidRPr="00100E12">
        <w:rPr>
          <w:sz w:val="20"/>
          <w:szCs w:val="20"/>
        </w:rPr>
        <w:t>/201</w:t>
      </w:r>
      <w:r w:rsidR="00966BB7">
        <w:rPr>
          <w:sz w:val="20"/>
          <w:szCs w:val="20"/>
        </w:rPr>
        <w:t>7</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3596F903" w14:textId="77777777" w:rsidR="00E67F8D" w:rsidRDefault="00E67F8D"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69F5B728" w14:textId="523DDF3B" w:rsidR="00100E12"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38EC33F4" w14:textId="77777777" w:rsidR="00F37A79" w:rsidRDefault="00F37A79" w:rsidP="00100E12">
      <w:pPr>
        <w:pStyle w:val="Prrafodelista"/>
        <w:spacing w:after="0"/>
        <w:ind w:left="360"/>
        <w:rPr>
          <w:sz w:val="20"/>
          <w:szCs w:val="20"/>
        </w:rPr>
      </w:pP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A5EE8CE" w:rsidR="0097395E" w:rsidRPr="00464252" w:rsidRDefault="00464252"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EE62C9">
        <w:rPr>
          <w:rFonts w:ascii="Calibri" w:eastAsia="Times New Roman" w:hAnsi="Calibri" w:cs="Calibri"/>
          <w:color w:val="000000"/>
          <w:kern w:val="0"/>
          <w:sz w:val="20"/>
          <w:szCs w:val="20"/>
          <w:lang w:eastAsia="es-MX"/>
          <w14:ligatures w14:val="none"/>
        </w:rPr>
        <w:t>Todos los métodos de generación de la información</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0DB873D9" w14:textId="204F6CED" w:rsidR="00966BB7" w:rsidRDefault="00437277" w:rsidP="00437277">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437277">
        <w:rPr>
          <w:rFonts w:ascii="Calibri" w:eastAsia="Times New Roman" w:hAnsi="Calibri" w:cs="Calibri"/>
          <w:color w:val="000000"/>
          <w:kern w:val="0"/>
          <w:sz w:val="20"/>
          <w:szCs w:val="20"/>
          <w:lang w:eastAsia="es-MX"/>
          <w14:ligatures w14:val="none"/>
        </w:rPr>
        <w:t xml:space="preserve">Proporcionar información sobre la puntualidad, para conocer en qué medida se compromete la publicación de la información de los procesos </w:t>
      </w:r>
      <w:r w:rsidR="00C95376">
        <w:rPr>
          <w:rFonts w:ascii="Calibri" w:eastAsia="Times New Roman" w:hAnsi="Calibri" w:cs="Calibri"/>
          <w:color w:val="000000"/>
          <w:kern w:val="0"/>
          <w:sz w:val="20"/>
          <w:szCs w:val="20"/>
          <w:lang w:eastAsia="es-MX"/>
          <w14:ligatures w14:val="none"/>
        </w:rPr>
        <w:t>de producción</w:t>
      </w:r>
      <w:r w:rsidRPr="00437277">
        <w:rPr>
          <w:rFonts w:ascii="Calibri" w:eastAsia="Times New Roman" w:hAnsi="Calibri" w:cs="Calibri"/>
          <w:color w:val="000000"/>
          <w:kern w:val="0"/>
          <w:sz w:val="20"/>
          <w:szCs w:val="20"/>
          <w:lang w:eastAsia="es-MX"/>
          <w14:ligatures w14:val="none"/>
        </w:rPr>
        <w:t xml:space="preserve"> del INEGI en una fecha previamente establecida en el Calendario de difusión de información estadística y geográfica y de Interés Nacional del INEGI (Calendario de Difusión).</w:t>
      </w:r>
    </w:p>
    <w:p w14:paraId="6FF2401D" w14:textId="77777777" w:rsidR="00437277" w:rsidRDefault="00437277"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70601173"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w:t>
      </w:r>
      <w:r w:rsidR="0097395E" w:rsidRPr="0097395E">
        <w:rPr>
          <w:rFonts w:ascii="Calibri" w:eastAsia="Times New Roman" w:hAnsi="Calibri" w:cs="Calibri"/>
          <w:color w:val="000000"/>
          <w:kern w:val="0"/>
          <w:sz w:val="20"/>
          <w:szCs w:val="20"/>
          <w:lang w:eastAsia="es-MX"/>
          <w14:ligatures w14:val="none"/>
        </w:rPr>
        <w:t xml:space="preserve">nual, </w:t>
      </w:r>
      <w:r>
        <w:rPr>
          <w:rFonts w:ascii="Calibri" w:eastAsia="Times New Roman" w:hAnsi="Calibri" w:cs="Calibri"/>
          <w:color w:val="000000"/>
          <w:kern w:val="0"/>
          <w:sz w:val="20"/>
          <w:szCs w:val="20"/>
          <w:lang w:eastAsia="es-MX"/>
          <w14:ligatures w14:val="none"/>
        </w:rPr>
        <w:t>al concluir</w:t>
      </w:r>
      <w:r w:rsidR="0097395E" w:rsidRPr="0097395E">
        <w:rPr>
          <w:rFonts w:ascii="Calibri" w:eastAsia="Times New Roman" w:hAnsi="Calibri" w:cs="Calibri"/>
          <w:color w:val="000000"/>
          <w:kern w:val="0"/>
          <w:sz w:val="20"/>
          <w:szCs w:val="20"/>
          <w:lang w:eastAsia="es-MX"/>
          <w14:ligatures w14:val="none"/>
        </w:rPr>
        <w:t xml:space="preserve"> el año calendario.</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F42CBFB"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97395E">
        <w:rPr>
          <w:rFonts w:ascii="Calibri" w:eastAsia="Times New Roman" w:hAnsi="Calibri" w:cs="Calibri"/>
          <w:color w:val="000000"/>
          <w:kern w:val="0"/>
          <w:sz w:val="20"/>
          <w:szCs w:val="20"/>
          <w:lang w:eastAsia="es-MX"/>
          <w14:ligatures w14:val="none"/>
        </w:rPr>
        <w:t>31 de enero.</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60F2CCA"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Año inmediato anterior.</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61398A3" w14:textId="21347A68" w:rsidR="00F37A79" w:rsidRDefault="0043727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437277">
        <w:rPr>
          <w:rFonts w:ascii="Calibri" w:eastAsia="Times New Roman" w:hAnsi="Calibri" w:cs="Calibri"/>
          <w:b/>
          <w:bCs/>
          <w:color w:val="000000"/>
          <w:kern w:val="0"/>
          <w:sz w:val="20"/>
          <w:szCs w:val="20"/>
          <w:lang w:eastAsia="es-MX"/>
          <w14:ligatures w14:val="none"/>
        </w:rPr>
        <w:t xml:space="preserve">Puntualidad: </w:t>
      </w:r>
      <w:r w:rsidRPr="00942FDF">
        <w:rPr>
          <w:rFonts w:ascii="Calibri" w:eastAsia="Times New Roman" w:hAnsi="Calibri" w:cs="Calibri"/>
          <w:color w:val="000000"/>
          <w:kern w:val="0"/>
          <w:sz w:val="20"/>
          <w:szCs w:val="20"/>
          <w:lang w:eastAsia="es-MX"/>
          <w14:ligatures w14:val="none"/>
        </w:rPr>
        <w:t>E</w:t>
      </w:r>
      <w:r w:rsidRPr="00437277">
        <w:rPr>
          <w:rFonts w:ascii="Calibri" w:eastAsia="Times New Roman" w:hAnsi="Calibri" w:cs="Calibri"/>
          <w:color w:val="000000"/>
          <w:kern w:val="0"/>
          <w:sz w:val="20"/>
          <w:szCs w:val="20"/>
          <w:lang w:eastAsia="es-MX"/>
          <w14:ligatures w14:val="none"/>
        </w:rPr>
        <w:t xml:space="preserve">l lapso entre la entrega de la información y la fecha en la que debería haberse entregado. Divulgar la información en fecha y hora establecidas en el calendario de publicación aprobado por la Junta de Gobierno. (Principios </w:t>
      </w:r>
      <w:r>
        <w:rPr>
          <w:rFonts w:ascii="Calibri" w:eastAsia="Times New Roman" w:hAnsi="Calibri" w:cs="Calibri"/>
          <w:color w:val="000000"/>
          <w:kern w:val="0"/>
          <w:sz w:val="20"/>
          <w:szCs w:val="20"/>
          <w:lang w:eastAsia="es-MX"/>
          <w14:ligatures w14:val="none"/>
        </w:rPr>
        <w:t>y b</w:t>
      </w:r>
      <w:r w:rsidRPr="00437277">
        <w:rPr>
          <w:rFonts w:ascii="Calibri" w:eastAsia="Times New Roman" w:hAnsi="Calibri" w:cs="Calibri"/>
          <w:color w:val="000000"/>
          <w:kern w:val="0"/>
          <w:sz w:val="20"/>
          <w:szCs w:val="20"/>
          <w:lang w:eastAsia="es-MX"/>
          <w14:ligatures w14:val="none"/>
        </w:rPr>
        <w:t>uenas prácticas para las actividades estadísticas y geográficas del SNIEG, Política de Calidad Institucional).</w:t>
      </w:r>
    </w:p>
    <w:p w14:paraId="57894B81" w14:textId="77777777" w:rsidR="00966BB7" w:rsidRDefault="00966BB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72C96DD" w14:textId="77777777" w:rsidR="00E67F8D" w:rsidRDefault="00E67F8D"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40A10E2" w14:textId="77777777" w:rsidR="00361BB8" w:rsidRDefault="00361BB8"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643209D" w14:textId="77777777" w:rsidR="00361BB8" w:rsidRDefault="00361BB8"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B1B3375" w14:textId="77777777" w:rsidR="00361BB8" w:rsidRDefault="00361BB8"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E928A98" w14:textId="77777777" w:rsidR="00361BB8" w:rsidRDefault="00361BB8"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6FC71F4" w14:textId="77777777" w:rsidR="00361BB8" w:rsidRPr="00966BB7" w:rsidRDefault="00361BB8"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38DFF59" w14:textId="741FDF95" w:rsidR="00294AE7" w:rsidRDefault="00E67F8D" w:rsidP="00294AE7">
      <w:pPr>
        <w:pStyle w:val="Prrafodelista"/>
        <w:ind w:left="426"/>
        <w:rPr>
          <w:rFonts w:ascii="Calibri" w:eastAsia="Times New Roman" w:hAnsi="Calibri" w:cs="Calibri"/>
          <w:b/>
          <w:bCs/>
          <w:iCs/>
          <w:color w:val="000000"/>
          <w:kern w:val="0"/>
          <w:sz w:val="20"/>
          <w:szCs w:val="20"/>
          <w:lang w:eastAsia="es-MX"/>
          <w14:ligatures w14:val="none"/>
        </w:rPr>
      </w:pPr>
      <w:r>
        <w:rPr>
          <w:rFonts w:ascii="Calibri" w:eastAsia="Times New Roman" w:hAnsi="Calibri" w:cs="Calibri"/>
          <w:b/>
          <w:bCs/>
          <w:iCs/>
          <w:color w:val="000000"/>
          <w:kern w:val="0"/>
          <w:sz w:val="20"/>
          <w:szCs w:val="20"/>
          <w:lang w:eastAsia="es-MX"/>
          <w14:ligatures w14:val="none"/>
        </w:rPr>
        <w:t xml:space="preserve">                                               </w:t>
      </w:r>
      <w:r w:rsidRPr="00E67F8D">
        <w:rPr>
          <w:rFonts w:ascii="Calibri" w:eastAsia="Times New Roman" w:hAnsi="Calibri" w:cs="Calibri"/>
          <w:b/>
          <w:bCs/>
          <w:iCs/>
          <w:color w:val="000000"/>
          <w:kern w:val="0"/>
          <w:sz w:val="20"/>
          <w:szCs w:val="20"/>
          <w:lang w:eastAsia="es-MX"/>
          <w14:ligatures w14:val="none"/>
        </w:rPr>
        <w:t>PP</w:t>
      </w:r>
      <w:r w:rsidRPr="00E67F8D">
        <w:rPr>
          <w:rFonts w:ascii="Calibri" w:eastAsia="Times New Roman" w:hAnsi="Calibri" w:cs="Calibri"/>
          <w:b/>
          <w:bCs/>
          <w:iCs/>
          <w:color w:val="000000"/>
          <w:kern w:val="0"/>
          <w:sz w:val="20"/>
          <w:szCs w:val="20"/>
          <w:vertAlign w:val="subscript"/>
          <w:lang w:eastAsia="es-MX"/>
          <w14:ligatures w14:val="none"/>
        </w:rPr>
        <w:t>CAD</w:t>
      </w:r>
      <w:r w:rsidRPr="00E67F8D">
        <w:rPr>
          <w:rFonts w:ascii="Calibri" w:eastAsia="Times New Roman" w:hAnsi="Calibri" w:cs="Calibri"/>
          <w:b/>
          <w:bCs/>
          <w:iCs/>
          <w:color w:val="000000"/>
          <w:kern w:val="0"/>
          <w:sz w:val="20"/>
          <w:szCs w:val="20"/>
          <w:lang w:eastAsia="es-MX"/>
          <w14:ligatures w14:val="none"/>
        </w:rPr>
        <w:t>= (P</w:t>
      </w:r>
      <w:r w:rsidRPr="00E67F8D">
        <w:rPr>
          <w:rFonts w:ascii="Calibri" w:eastAsia="Times New Roman" w:hAnsi="Calibri" w:cs="Calibri"/>
          <w:b/>
          <w:bCs/>
          <w:iCs/>
          <w:color w:val="000000"/>
          <w:kern w:val="0"/>
          <w:sz w:val="20"/>
          <w:szCs w:val="20"/>
          <w:vertAlign w:val="subscript"/>
          <w:lang w:eastAsia="es-MX"/>
          <w14:ligatures w14:val="none"/>
        </w:rPr>
        <w:t xml:space="preserve">CAD </w:t>
      </w:r>
      <w:r w:rsidRPr="00E67F8D">
        <w:rPr>
          <w:rFonts w:ascii="Calibri" w:eastAsia="Times New Roman" w:hAnsi="Calibri" w:cs="Calibri"/>
          <w:b/>
          <w:bCs/>
          <w:iCs/>
          <w:color w:val="000000"/>
          <w:kern w:val="0"/>
          <w:sz w:val="20"/>
          <w:szCs w:val="20"/>
          <w:lang w:eastAsia="es-MX"/>
          <w14:ligatures w14:val="none"/>
        </w:rPr>
        <w:t>/ TPP</w:t>
      </w:r>
      <w:r w:rsidRPr="00E67F8D">
        <w:rPr>
          <w:rFonts w:ascii="Calibri" w:eastAsia="Times New Roman" w:hAnsi="Calibri" w:cs="Calibri"/>
          <w:b/>
          <w:bCs/>
          <w:iCs/>
          <w:color w:val="000000"/>
          <w:kern w:val="0"/>
          <w:sz w:val="20"/>
          <w:szCs w:val="20"/>
          <w:vertAlign w:val="subscript"/>
          <w:lang w:eastAsia="es-MX"/>
          <w14:ligatures w14:val="none"/>
        </w:rPr>
        <w:t>SII</w:t>
      </w:r>
      <w:r w:rsidRPr="00E67F8D">
        <w:rPr>
          <w:rFonts w:ascii="Calibri" w:eastAsia="Times New Roman" w:hAnsi="Calibri" w:cs="Calibri"/>
          <w:b/>
          <w:bCs/>
          <w:iCs/>
          <w:color w:val="000000"/>
          <w:kern w:val="0"/>
          <w:sz w:val="20"/>
          <w:szCs w:val="20"/>
          <w:lang w:eastAsia="es-MX"/>
          <w14:ligatures w14:val="none"/>
        </w:rPr>
        <w:t>)*100</w:t>
      </w:r>
    </w:p>
    <w:p w14:paraId="22E6594F" w14:textId="77777777" w:rsidR="00E67F8D" w:rsidRDefault="00E67F8D" w:rsidP="00294AE7">
      <w:pPr>
        <w:pStyle w:val="Prrafodelista"/>
        <w:ind w:left="426"/>
        <w:rPr>
          <w:rFonts w:ascii="Calibri" w:eastAsia="Times New Roman" w:hAnsi="Calibri" w:cs="Calibri"/>
          <w:b/>
          <w:bCs/>
          <w:i/>
          <w:iCs/>
          <w:color w:val="000000"/>
          <w:kern w:val="0"/>
          <w:sz w:val="20"/>
          <w:szCs w:val="20"/>
          <w:lang w:eastAsia="es-MX"/>
          <w14:ligatures w14:val="none"/>
        </w:rPr>
      </w:pPr>
    </w:p>
    <w:p w14:paraId="2F9F245D" w14:textId="39137390"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Donde:</w:t>
      </w:r>
    </w:p>
    <w:p w14:paraId="1AF8C154" w14:textId="7DFAECD9" w:rsidR="00E67F8D" w:rsidRDefault="00E67F8D" w:rsidP="00E67F8D">
      <w:pPr>
        <w:pStyle w:val="Prrafodelista"/>
        <w:ind w:left="1276" w:hanging="850"/>
        <w:jc w:val="both"/>
        <w:rPr>
          <w:rFonts w:ascii="Cambria Math" w:eastAsia="Times New Roman" w:hAnsi="Cambria Math" w:cs="Calibri"/>
          <w:b/>
          <w:i/>
          <w:color w:val="000000"/>
          <w:kern w:val="0"/>
          <w:sz w:val="20"/>
          <w:szCs w:val="20"/>
          <w:lang w:eastAsia="es-MX"/>
          <w14:ligatures w14:val="none"/>
        </w:rPr>
      </w:pPr>
      <w:r w:rsidRPr="00E67F8D">
        <w:rPr>
          <w:rFonts w:ascii="Cambria Math" w:eastAsia="Times New Roman" w:hAnsi="Cambria Math" w:cs="Calibri"/>
          <w:b/>
          <w:i/>
          <w:color w:val="000000"/>
          <w:kern w:val="0"/>
          <w:sz w:val="20"/>
          <w:szCs w:val="20"/>
          <w:lang w:eastAsia="es-MX"/>
          <w14:ligatures w14:val="none"/>
        </w:rPr>
        <w:t>PP</w:t>
      </w:r>
      <w:r w:rsidRPr="00E67F8D">
        <w:rPr>
          <w:rFonts w:ascii="Cambria Math" w:eastAsia="Times New Roman" w:hAnsi="Cambria Math" w:cs="Calibri"/>
          <w:b/>
          <w:i/>
          <w:color w:val="000000"/>
          <w:kern w:val="0"/>
          <w:sz w:val="20"/>
          <w:szCs w:val="20"/>
          <w:vertAlign w:val="subscript"/>
          <w:lang w:eastAsia="es-MX"/>
          <w14:ligatures w14:val="none"/>
        </w:rPr>
        <w:t>CAD</w:t>
      </w:r>
      <w:r w:rsidRPr="00E67F8D">
        <w:rPr>
          <w:rFonts w:ascii="Cambria Math" w:eastAsia="Times New Roman" w:hAnsi="Cambria Math" w:cs="Calibri"/>
          <w:b/>
          <w:i/>
          <w:color w:val="000000"/>
          <w:kern w:val="0"/>
          <w:sz w:val="20"/>
          <w:szCs w:val="20"/>
          <w:lang w:eastAsia="es-MX"/>
          <w14:ligatures w14:val="none"/>
        </w:rPr>
        <w:t xml:space="preserve"> =    </w:t>
      </w:r>
      <w:r w:rsidRPr="00E67F8D">
        <w:rPr>
          <w:rFonts w:ascii="Cambria Math" w:eastAsia="Times New Roman" w:hAnsi="Cambria Math" w:cs="Calibri"/>
          <w:bCs/>
          <w:iCs/>
          <w:color w:val="000000"/>
          <w:kern w:val="0"/>
          <w:sz w:val="20"/>
          <w:szCs w:val="20"/>
          <w:lang w:eastAsia="es-MX"/>
          <w14:ligatures w14:val="none"/>
        </w:rPr>
        <w:t xml:space="preserve">Porcentaje de procesos de </w:t>
      </w:r>
      <w:r>
        <w:rPr>
          <w:rFonts w:ascii="Cambria Math" w:eastAsia="Times New Roman" w:hAnsi="Cambria Math" w:cs="Calibri"/>
          <w:bCs/>
          <w:iCs/>
          <w:color w:val="000000"/>
          <w:kern w:val="0"/>
          <w:sz w:val="20"/>
          <w:szCs w:val="20"/>
          <w:lang w:eastAsia="es-MX"/>
          <w14:ligatures w14:val="none"/>
        </w:rPr>
        <w:t>producción</w:t>
      </w:r>
      <w:r w:rsidRPr="00E67F8D">
        <w:rPr>
          <w:rFonts w:ascii="Cambria Math" w:eastAsia="Times New Roman" w:hAnsi="Cambria Math" w:cs="Calibri"/>
          <w:bCs/>
          <w:iCs/>
          <w:color w:val="000000"/>
          <w:kern w:val="0"/>
          <w:sz w:val="20"/>
          <w:szCs w:val="20"/>
          <w:lang w:eastAsia="es-MX"/>
          <w14:ligatures w14:val="none"/>
        </w:rPr>
        <w:t xml:space="preserve"> cuya fecha de publicación está comprometida en el Calendario anual de difusión de información estadística y geográfica y de Interés Nacional del INEGI.</w:t>
      </w:r>
    </w:p>
    <w:p w14:paraId="414E169D" w14:textId="78F6DAA3" w:rsidR="00E67F8D" w:rsidRDefault="00E67F8D" w:rsidP="00E67F8D">
      <w:pPr>
        <w:pStyle w:val="Prrafodelista"/>
        <w:ind w:left="1276" w:hanging="850"/>
        <w:jc w:val="both"/>
        <w:rPr>
          <w:rFonts w:ascii="Cambria Math" w:eastAsia="Times New Roman" w:hAnsi="Cambria Math" w:cs="Calibri"/>
          <w:b/>
          <w:i/>
          <w:color w:val="000000"/>
          <w:kern w:val="0"/>
          <w:sz w:val="20"/>
          <w:szCs w:val="20"/>
          <w:lang w:eastAsia="es-MX"/>
          <w14:ligatures w14:val="none"/>
        </w:rPr>
      </w:pPr>
      <w:r w:rsidRPr="00E67F8D">
        <w:rPr>
          <w:rFonts w:ascii="Cambria Math" w:eastAsia="Times New Roman" w:hAnsi="Cambria Math" w:cs="Calibri"/>
          <w:b/>
          <w:i/>
          <w:color w:val="000000"/>
          <w:kern w:val="0"/>
          <w:sz w:val="20"/>
          <w:szCs w:val="20"/>
          <w:lang w:eastAsia="es-MX"/>
          <w14:ligatures w14:val="none"/>
        </w:rPr>
        <w:t>P</w:t>
      </w:r>
      <w:r w:rsidRPr="00E67F8D">
        <w:rPr>
          <w:rFonts w:ascii="Cambria Math" w:eastAsia="Times New Roman" w:hAnsi="Cambria Math" w:cs="Calibri"/>
          <w:b/>
          <w:i/>
          <w:color w:val="000000"/>
          <w:kern w:val="0"/>
          <w:sz w:val="20"/>
          <w:szCs w:val="20"/>
          <w:vertAlign w:val="subscript"/>
          <w:lang w:eastAsia="es-MX"/>
          <w14:ligatures w14:val="none"/>
        </w:rPr>
        <w:t>CAD</w:t>
      </w:r>
      <w:r w:rsidRPr="00E67F8D">
        <w:rPr>
          <w:rFonts w:ascii="Cambria Math" w:eastAsia="Times New Roman" w:hAnsi="Cambria Math" w:cs="Calibri"/>
          <w:b/>
          <w:i/>
          <w:color w:val="000000"/>
          <w:kern w:val="0"/>
          <w:sz w:val="20"/>
          <w:szCs w:val="20"/>
          <w:lang w:eastAsia="es-MX"/>
          <w14:ligatures w14:val="none"/>
        </w:rPr>
        <w:t xml:space="preserve"> =    </w:t>
      </w:r>
      <w:r>
        <w:rPr>
          <w:rFonts w:ascii="Cambria Math" w:eastAsia="Times New Roman" w:hAnsi="Cambria Math" w:cs="Calibri"/>
          <w:b/>
          <w:i/>
          <w:color w:val="000000"/>
          <w:kern w:val="0"/>
          <w:sz w:val="20"/>
          <w:szCs w:val="20"/>
          <w:lang w:eastAsia="es-MX"/>
          <w14:ligatures w14:val="none"/>
        </w:rPr>
        <w:t xml:space="preserve"> </w:t>
      </w:r>
      <w:r w:rsidRPr="00E67F8D">
        <w:rPr>
          <w:rFonts w:ascii="Cambria Math" w:eastAsia="Times New Roman" w:hAnsi="Cambria Math" w:cs="Calibri"/>
          <w:bCs/>
          <w:iCs/>
          <w:color w:val="000000"/>
          <w:kern w:val="0"/>
          <w:sz w:val="20"/>
          <w:szCs w:val="20"/>
          <w:lang w:eastAsia="es-MX"/>
          <w14:ligatures w14:val="none"/>
        </w:rPr>
        <w:t xml:space="preserve">Número de procesos de </w:t>
      </w:r>
      <w:r>
        <w:rPr>
          <w:rFonts w:ascii="Cambria Math" w:eastAsia="Times New Roman" w:hAnsi="Cambria Math" w:cs="Calibri"/>
          <w:bCs/>
          <w:iCs/>
          <w:color w:val="000000"/>
          <w:kern w:val="0"/>
          <w:sz w:val="20"/>
          <w:szCs w:val="20"/>
          <w:lang w:eastAsia="es-MX"/>
          <w14:ligatures w14:val="none"/>
        </w:rPr>
        <w:t>producción</w:t>
      </w:r>
      <w:r w:rsidRPr="00E67F8D">
        <w:rPr>
          <w:rFonts w:ascii="Cambria Math" w:eastAsia="Times New Roman" w:hAnsi="Cambria Math" w:cs="Calibri"/>
          <w:bCs/>
          <w:iCs/>
          <w:color w:val="000000"/>
          <w:kern w:val="0"/>
          <w:sz w:val="20"/>
          <w:szCs w:val="20"/>
          <w:lang w:eastAsia="es-MX"/>
          <w14:ligatures w14:val="none"/>
        </w:rPr>
        <w:t xml:space="preserve"> cuya fecha de publicación está comprometida en el Calendario anual de difusión de información estadística y geográfica y de Interés Nacional del INEGI.</w:t>
      </w:r>
    </w:p>
    <w:p w14:paraId="4F9A1964" w14:textId="702F34C2" w:rsidR="00294AE7" w:rsidRPr="00E67F8D" w:rsidRDefault="00E67F8D" w:rsidP="00E67F8D">
      <w:pPr>
        <w:pStyle w:val="Prrafodelista"/>
        <w:ind w:left="1276" w:hanging="850"/>
        <w:jc w:val="both"/>
        <w:rPr>
          <w:rFonts w:ascii="Calibri" w:eastAsia="Times New Roman" w:hAnsi="Calibri" w:cs="Calibri"/>
          <w:bCs/>
          <w:iCs/>
          <w:color w:val="000000"/>
          <w:kern w:val="0"/>
          <w:sz w:val="20"/>
          <w:szCs w:val="20"/>
          <w:lang w:eastAsia="es-MX"/>
          <w14:ligatures w14:val="none"/>
        </w:rPr>
      </w:pPr>
      <w:r w:rsidRPr="00E67F8D">
        <w:rPr>
          <w:rFonts w:ascii="Cambria Math" w:eastAsia="Times New Roman" w:hAnsi="Cambria Math" w:cs="Calibri"/>
          <w:b/>
          <w:i/>
          <w:color w:val="000000"/>
          <w:kern w:val="0"/>
          <w:sz w:val="20"/>
          <w:szCs w:val="20"/>
          <w:lang w:eastAsia="es-MX"/>
          <w14:ligatures w14:val="none"/>
        </w:rPr>
        <w:t>TPP</w:t>
      </w:r>
      <w:r w:rsidRPr="00E67F8D">
        <w:rPr>
          <w:rFonts w:ascii="Cambria Math" w:eastAsia="Times New Roman" w:hAnsi="Cambria Math" w:cs="Calibri"/>
          <w:b/>
          <w:i/>
          <w:color w:val="000000"/>
          <w:kern w:val="0"/>
          <w:sz w:val="20"/>
          <w:szCs w:val="20"/>
          <w:vertAlign w:val="subscript"/>
          <w:lang w:eastAsia="es-MX"/>
          <w14:ligatures w14:val="none"/>
        </w:rPr>
        <w:t>SII</w:t>
      </w:r>
      <w:r w:rsidRPr="00E67F8D">
        <w:rPr>
          <w:rFonts w:ascii="Cambria Math" w:eastAsia="Times New Roman" w:hAnsi="Cambria Math" w:cs="Calibri"/>
          <w:b/>
          <w:i/>
          <w:color w:val="000000"/>
          <w:kern w:val="0"/>
          <w:sz w:val="20"/>
          <w:szCs w:val="20"/>
          <w:lang w:eastAsia="es-MX"/>
          <w14:ligatures w14:val="none"/>
        </w:rPr>
        <w:t xml:space="preserve">=     </w:t>
      </w:r>
      <w:r w:rsidRPr="00E67F8D">
        <w:rPr>
          <w:rFonts w:ascii="Cambria Math" w:eastAsia="Times New Roman" w:hAnsi="Cambria Math" w:cs="Calibri"/>
          <w:bCs/>
          <w:iCs/>
          <w:color w:val="000000"/>
          <w:kern w:val="0"/>
          <w:sz w:val="20"/>
          <w:szCs w:val="20"/>
          <w:lang w:eastAsia="es-MX"/>
          <w14:ligatures w14:val="none"/>
        </w:rPr>
        <w:t xml:space="preserve">Número total de </w:t>
      </w:r>
      <w:r>
        <w:rPr>
          <w:rFonts w:ascii="Cambria Math" w:eastAsia="Times New Roman" w:hAnsi="Cambria Math" w:cs="Calibri"/>
          <w:bCs/>
          <w:iCs/>
          <w:color w:val="000000"/>
          <w:kern w:val="0"/>
          <w:sz w:val="20"/>
          <w:szCs w:val="20"/>
          <w:lang w:eastAsia="es-MX"/>
          <w14:ligatures w14:val="none"/>
        </w:rPr>
        <w:t>p</w:t>
      </w:r>
      <w:r w:rsidRPr="00E67F8D">
        <w:rPr>
          <w:rFonts w:ascii="Cambria Math" w:eastAsia="Times New Roman" w:hAnsi="Cambria Math" w:cs="Calibri"/>
          <w:bCs/>
          <w:iCs/>
          <w:color w:val="000000"/>
          <w:kern w:val="0"/>
          <w:sz w:val="20"/>
          <w:szCs w:val="20"/>
          <w:lang w:eastAsia="es-MX"/>
          <w14:ligatures w14:val="none"/>
        </w:rPr>
        <w:t xml:space="preserve">rocesos de </w:t>
      </w:r>
      <w:r>
        <w:rPr>
          <w:rFonts w:ascii="Cambria Math" w:eastAsia="Times New Roman" w:hAnsi="Cambria Math" w:cs="Calibri"/>
          <w:bCs/>
          <w:iCs/>
          <w:color w:val="000000"/>
          <w:kern w:val="0"/>
          <w:sz w:val="20"/>
          <w:szCs w:val="20"/>
          <w:lang w:eastAsia="es-MX"/>
          <w14:ligatures w14:val="none"/>
        </w:rPr>
        <w:t>producción</w:t>
      </w:r>
      <w:r w:rsidRPr="00E67F8D">
        <w:rPr>
          <w:rFonts w:ascii="Cambria Math" w:eastAsia="Times New Roman" w:hAnsi="Cambria Math" w:cs="Calibri"/>
          <w:bCs/>
          <w:iCs/>
          <w:color w:val="000000"/>
          <w:kern w:val="0"/>
          <w:sz w:val="20"/>
          <w:szCs w:val="20"/>
          <w:lang w:eastAsia="es-MX"/>
          <w14:ligatures w14:val="none"/>
        </w:rPr>
        <w:t xml:space="preserve"> considerados en IPI publicados anualmente en el sitio del INEGI en internet.</w:t>
      </w:r>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04C3303" w14:textId="5FDB7291" w:rsidR="00E67F8D" w:rsidRDefault="00294AE7" w:rsidP="00E67F8D">
      <w:pPr>
        <w:spacing w:after="0" w:line="240" w:lineRule="auto"/>
        <w:ind w:left="426"/>
        <w:rPr>
          <w:rFonts w:ascii="Calibri" w:eastAsia="Times New Roman" w:hAnsi="Calibri" w:cs="Calibri"/>
          <w:kern w:val="0"/>
          <w:sz w:val="20"/>
          <w:szCs w:val="20"/>
          <w:lang w:eastAsia="es-MX"/>
          <w14:ligatures w14:val="none"/>
        </w:rPr>
      </w:pPr>
      <w:r w:rsidRPr="00294AE7">
        <w:rPr>
          <w:rFonts w:ascii="Calibri" w:eastAsia="Times New Roman" w:hAnsi="Calibri" w:cs="Calibri"/>
          <w:noProof/>
          <w:kern w:val="0"/>
          <w:sz w:val="20"/>
          <w:szCs w:val="20"/>
          <w:lang w:eastAsia="es-MX"/>
          <w14:ligatures w14:val="none"/>
        </w:rPr>
        <mc:AlternateContent>
          <mc:Choice Requires="wps">
            <w:drawing>
              <wp:anchor distT="0" distB="0" distL="114300" distR="114300" simplePos="0" relativeHeight="251665408" behindDoc="0" locked="0" layoutInCell="1" allowOverlap="1" wp14:anchorId="322DE244" wp14:editId="254E230C">
                <wp:simplePos x="0" y="0"/>
                <wp:positionH relativeFrom="column">
                  <wp:posOffset>38100</wp:posOffset>
                </wp:positionH>
                <wp:positionV relativeFrom="paragraph">
                  <wp:posOffset>219075</wp:posOffset>
                </wp:positionV>
                <wp:extent cx="666750" cy="171450"/>
                <wp:effectExtent l="0" t="0" r="0" b="0"/>
                <wp:wrapNone/>
                <wp:docPr id="2" name="Cuadro de text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657168" cy="1763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BA111D3" w14:textId="3A4524E5" w:rsidR="00294AE7" w:rsidRDefault="00294AE7" w:rsidP="00294AE7">
                            <w:pPr>
                              <w:rPr>
                                <w:rFonts w:ascii="Cambria Math" w:hAnsi="+mn-cs"/>
                                <w:i/>
                                <w:iCs/>
                                <w:color w:val="000000" w:themeColor="text1"/>
                                <w:kern w:val="0"/>
                                <w14:ligatures w14:val="none"/>
                              </w:rPr>
                            </w:pPr>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322DE244" id="_x0000_t202" coordsize="21600,21600" o:spt="202" path="m,l,21600r21600,l21600,xe">
                <v:stroke joinstyle="miter"/>
                <v:path gradientshapeok="t" o:connecttype="rect"/>
              </v:shapetype>
              <v:shape id="Cuadro de texto 7" o:spid="_x0000_s1029" type="#_x0000_t202" style="position:absolute;left:0;text-align:left;margin-left:3pt;margin-top:17.25pt;width:52.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9P+gEAAFAEAAAOAAAAZHJzL2Uyb0RvYy54bWysVMFu2zAMvQ/YPwi6L05aNN2COMXWosOA&#10;YS3W7QNkWYoFSKJAqbGzrx8lx87QnTrsotAUST2+R2Z7MzjLDgqjAV/z1WLJmfISWuP3Nf/54/7d&#10;e85iEr4VFryq+VFFfrN7+2bbh426gA5sq5BRER83fah5l1LYVFWUnXIiLiAoT5ca0IlEn7ivWhQ9&#10;VXe2ulgu11UP2AYEqWIk7914yXelvtZKpgeto0rM1pywpXJiOZt8Vrut2OxRhM7IEwzxDyicMJ4e&#10;nUvdiSTYM5q/SjkjESLotJDgKtDaSFV6oG5WyxfdPHUiqNILkRPDTFP8f2Xlt8NTeESWhk8wkICZ&#10;kD7ETSRn7mfQ6PIvIWV0TxQeZ9rUkJgk5/rqerUmnSVdra7Xlx+ucpXqnBwwps8KHMtGzZFUKWSJ&#10;w9eYxtApJL/l4d5Ym/1nJMVKR6tygPXflWamLYCyI0rcN7cW2agsjR4BnfQlICUhB2oq/MrcU0rO&#10;VmWgXpk/J5X3wac53xkPWIgo465yAwdBg5qGogMB12P8RMVIQOYiDc1ADNT8clKsgfZIQtIupgc6&#10;tIW+5tKawFkH+Oulr6eZr7mnpeTMfvE0Unk9JgMno5kMTPYWxiUSXlJFgjliDx+fEylWhMzQRiAn&#10;yDS2ZRROK5b34s/vEnX+I9j9BgAA//8DAFBLAwQUAAYACAAAACEAXD/m0doAAAAHAQAADwAAAGRy&#10;cy9kb3ducmV2LnhtbEyPwU7DMBBE70j8g7VI3KgToKVK41SoEhduFITEzY23cVR7Hdlumvw92xMc&#10;Z2Y187beTt6JEWPqAykoFwUIpDaYnjoFX59vD2sQKWsy2gVCBTMm2Da3N7WuTLjQB4773AkuoVRp&#10;BTbnoZIytRa9ToswIHF2DNHrzDJ20kR94XLv5GNRrKTXPfGC1QPuLLan/dkreJm+Aw4Jd/hzHNto&#10;+3nt3mel7u+m1w2IjFP+O4YrPqNDw0yHcCaThFOw4k+ygqfnJYhrXJZsHNgvlyCbWv7nb34BAAD/&#10;/wMAUEsBAi0AFAAGAAgAAAAhALaDOJL+AAAA4QEAABMAAAAAAAAAAAAAAAAAAAAAAFtDb250ZW50&#10;X1R5cGVzXS54bWxQSwECLQAUAAYACAAAACEAOP0h/9YAAACUAQAACwAAAAAAAAAAAAAAAAAvAQAA&#10;X3JlbHMvLnJlbHNQSwECLQAUAAYACAAAACEAB9e/T/oBAABQBAAADgAAAAAAAAAAAAAAAAAuAgAA&#10;ZHJzL2Uyb0RvYy54bWxQSwECLQAUAAYACAAAACEAXD/m0doAAAAHAQAADwAAAAAAAAAAAAAAAABU&#10;BAAAZHJzL2Rvd25yZXYueG1sUEsFBgAAAAAEAAQA8wAAAFsFAAAAAA==&#10;" filled="f" stroked="f">
                <v:textbox style="mso-fit-shape-to-text:t" inset="0,0,0,0">
                  <w:txbxContent>
                    <w:p w14:paraId="3BA111D3" w14:textId="3A4524E5" w:rsidR="00294AE7" w:rsidRDefault="00294AE7" w:rsidP="00294AE7">
                      <w:pPr>
                        <w:rPr>
                          <w:rFonts w:ascii="Cambria Math" w:hAnsi="+mn-cs"/>
                          <w:i/>
                          <w:iCs/>
                          <w:color w:val="000000" w:themeColor="text1"/>
                          <w:kern w:val="0"/>
                          <w14:ligatures w14:val="none"/>
                        </w:rPr>
                      </w:pPr>
                    </w:p>
                  </w:txbxContent>
                </v:textbox>
              </v:shape>
            </w:pict>
          </mc:Fallback>
        </mc:AlternateContent>
      </w:r>
      <w:r w:rsidR="00E67F8D" w:rsidRPr="00E67F8D">
        <w:rPr>
          <w:rFonts w:ascii="Calibri" w:eastAsia="Times New Roman" w:hAnsi="Calibri" w:cs="Calibri"/>
          <w:kern w:val="0"/>
          <w:sz w:val="20"/>
          <w:szCs w:val="20"/>
          <w:lang w:eastAsia="es-MX"/>
          <w14:ligatures w14:val="none"/>
        </w:rPr>
        <w:t>P</w:t>
      </w:r>
      <w:r w:rsidR="00E67F8D" w:rsidRPr="00E02802">
        <w:rPr>
          <w:rFonts w:ascii="Calibri" w:eastAsia="Times New Roman" w:hAnsi="Calibri" w:cs="Calibri"/>
          <w:kern w:val="0"/>
          <w:sz w:val="20"/>
          <w:szCs w:val="20"/>
          <w:vertAlign w:val="subscript"/>
          <w:lang w:eastAsia="es-MX"/>
          <w14:ligatures w14:val="none"/>
        </w:rPr>
        <w:t>CAD</w:t>
      </w:r>
      <w:r w:rsidR="00E67F8D" w:rsidRPr="00E67F8D">
        <w:rPr>
          <w:rFonts w:ascii="Calibri" w:eastAsia="Times New Roman" w:hAnsi="Calibri" w:cs="Calibri"/>
          <w:kern w:val="0"/>
          <w:sz w:val="20"/>
          <w:szCs w:val="20"/>
          <w:lang w:eastAsia="es-MX"/>
          <w14:ligatures w14:val="none"/>
        </w:rPr>
        <w:t xml:space="preserve"> se calculará a partir de los programas</w:t>
      </w:r>
      <w:r w:rsidR="00FE1738">
        <w:rPr>
          <w:rFonts w:ascii="Calibri" w:eastAsia="Times New Roman" w:hAnsi="Calibri" w:cs="Calibri"/>
          <w:kern w:val="0"/>
          <w:sz w:val="20"/>
          <w:szCs w:val="20"/>
          <w:lang w:eastAsia="es-MX"/>
          <w14:ligatures w14:val="none"/>
        </w:rPr>
        <w:t xml:space="preserve"> de información</w:t>
      </w:r>
      <w:r w:rsidR="00E67F8D" w:rsidRPr="00E67F8D">
        <w:rPr>
          <w:rFonts w:ascii="Calibri" w:eastAsia="Times New Roman" w:hAnsi="Calibri" w:cs="Calibri"/>
          <w:kern w:val="0"/>
          <w:sz w:val="20"/>
          <w:szCs w:val="20"/>
          <w:lang w:eastAsia="es-MX"/>
          <w14:ligatures w14:val="none"/>
        </w:rPr>
        <w:t>/procesos</w:t>
      </w:r>
      <w:r w:rsidR="00FE1738">
        <w:rPr>
          <w:rFonts w:ascii="Calibri" w:eastAsia="Times New Roman" w:hAnsi="Calibri" w:cs="Calibri"/>
          <w:kern w:val="0"/>
          <w:sz w:val="20"/>
          <w:szCs w:val="20"/>
          <w:lang w:eastAsia="es-MX"/>
          <w14:ligatures w14:val="none"/>
        </w:rPr>
        <w:t xml:space="preserve"> de producción</w:t>
      </w:r>
      <w:r w:rsidR="00E67F8D" w:rsidRPr="00E67F8D">
        <w:rPr>
          <w:rFonts w:ascii="Calibri" w:eastAsia="Times New Roman" w:hAnsi="Calibri" w:cs="Calibri"/>
          <w:kern w:val="0"/>
          <w:sz w:val="20"/>
          <w:szCs w:val="20"/>
          <w:lang w:eastAsia="es-MX"/>
          <w14:ligatures w14:val="none"/>
        </w:rPr>
        <w:t xml:space="preserve"> comprometidos en el Calendario anual de difusión de información estadística y geográfica y de Interés Nacional del INEGI.</w:t>
      </w:r>
    </w:p>
    <w:p w14:paraId="5BB62680" w14:textId="77777777" w:rsidR="00FE1738" w:rsidRPr="00E67F8D" w:rsidRDefault="00FE1738" w:rsidP="00E67F8D">
      <w:pPr>
        <w:spacing w:after="0" w:line="240" w:lineRule="auto"/>
        <w:ind w:left="426"/>
        <w:rPr>
          <w:rFonts w:ascii="Calibri" w:eastAsia="Times New Roman" w:hAnsi="Calibri" w:cs="Calibri"/>
          <w:kern w:val="0"/>
          <w:sz w:val="20"/>
          <w:szCs w:val="20"/>
          <w:lang w:eastAsia="es-MX"/>
          <w14:ligatures w14:val="none"/>
        </w:rPr>
      </w:pPr>
    </w:p>
    <w:p w14:paraId="21DE48F9" w14:textId="09D1EC50" w:rsidR="00634AA4" w:rsidRPr="00294AE7" w:rsidRDefault="00E67F8D" w:rsidP="00E67F8D">
      <w:pPr>
        <w:spacing w:after="0" w:line="240" w:lineRule="auto"/>
        <w:ind w:left="426"/>
        <w:rPr>
          <w:rFonts w:ascii="Calibri" w:eastAsia="Times New Roman" w:hAnsi="Calibri" w:cs="Calibri"/>
          <w:kern w:val="0"/>
          <w:sz w:val="20"/>
          <w:szCs w:val="20"/>
          <w:lang w:eastAsia="es-MX"/>
          <w14:ligatures w14:val="none"/>
        </w:rPr>
      </w:pPr>
      <w:r w:rsidRPr="00E67F8D">
        <w:rPr>
          <w:rFonts w:ascii="Calibri" w:eastAsia="Times New Roman" w:hAnsi="Calibri" w:cs="Calibri"/>
          <w:kern w:val="0"/>
          <w:sz w:val="20"/>
          <w:szCs w:val="20"/>
          <w:lang w:eastAsia="es-MX"/>
          <w14:ligatures w14:val="none"/>
        </w:rPr>
        <w:t>TPP</w:t>
      </w:r>
      <w:r w:rsidRPr="00E02802">
        <w:rPr>
          <w:rFonts w:ascii="Calibri" w:eastAsia="Times New Roman" w:hAnsi="Calibri" w:cs="Calibri"/>
          <w:kern w:val="0"/>
          <w:sz w:val="20"/>
          <w:szCs w:val="20"/>
          <w:vertAlign w:val="subscript"/>
          <w:lang w:eastAsia="es-MX"/>
          <w14:ligatures w14:val="none"/>
        </w:rPr>
        <w:t>SII</w:t>
      </w:r>
      <w:r w:rsidRPr="00E67F8D">
        <w:rPr>
          <w:rFonts w:ascii="Calibri" w:eastAsia="Times New Roman" w:hAnsi="Calibri" w:cs="Calibri"/>
          <w:kern w:val="0"/>
          <w:sz w:val="20"/>
          <w:szCs w:val="20"/>
          <w:lang w:eastAsia="es-MX"/>
          <w14:ligatures w14:val="none"/>
        </w:rPr>
        <w:t xml:space="preserve"> el listado de programas</w:t>
      </w:r>
      <w:r w:rsidR="00FE1738">
        <w:rPr>
          <w:rFonts w:ascii="Calibri" w:eastAsia="Times New Roman" w:hAnsi="Calibri" w:cs="Calibri"/>
          <w:kern w:val="0"/>
          <w:sz w:val="20"/>
          <w:szCs w:val="20"/>
          <w:lang w:eastAsia="es-MX"/>
          <w14:ligatures w14:val="none"/>
        </w:rPr>
        <w:t xml:space="preserve"> de información</w:t>
      </w:r>
      <w:r w:rsidRPr="00E67F8D">
        <w:rPr>
          <w:rFonts w:ascii="Calibri" w:eastAsia="Times New Roman" w:hAnsi="Calibri" w:cs="Calibri"/>
          <w:kern w:val="0"/>
          <w:sz w:val="20"/>
          <w:szCs w:val="20"/>
          <w:lang w:eastAsia="es-MX"/>
          <w14:ligatures w14:val="none"/>
        </w:rPr>
        <w:t>/procesos</w:t>
      </w:r>
      <w:r w:rsidR="00FE1738">
        <w:rPr>
          <w:rFonts w:ascii="Calibri" w:eastAsia="Times New Roman" w:hAnsi="Calibri" w:cs="Calibri"/>
          <w:kern w:val="0"/>
          <w:sz w:val="20"/>
          <w:szCs w:val="20"/>
          <w:lang w:eastAsia="es-MX"/>
          <w14:ligatures w14:val="none"/>
        </w:rPr>
        <w:t xml:space="preserve"> de producción</w:t>
      </w:r>
      <w:r w:rsidRPr="00E67F8D">
        <w:rPr>
          <w:rFonts w:ascii="Calibri" w:eastAsia="Times New Roman" w:hAnsi="Calibri" w:cs="Calibri"/>
          <w:kern w:val="0"/>
          <w:sz w:val="20"/>
          <w:szCs w:val="20"/>
          <w:lang w:eastAsia="es-MX"/>
          <w14:ligatures w14:val="none"/>
        </w:rPr>
        <w:t xml:space="preserve"> IPI publicados en el sitio del INEGI en Internet proporcionada por la Dirección General Comunicación, Servicio Públic</w:t>
      </w:r>
      <w:r w:rsidR="00E02802">
        <w:rPr>
          <w:rFonts w:ascii="Calibri" w:eastAsia="Times New Roman" w:hAnsi="Calibri" w:cs="Calibri"/>
          <w:kern w:val="0"/>
          <w:sz w:val="20"/>
          <w:szCs w:val="20"/>
          <w:lang w:eastAsia="es-MX"/>
          <w14:ligatures w14:val="none"/>
        </w:rPr>
        <w:t>o</w:t>
      </w:r>
      <w:r w:rsidRPr="00E67F8D">
        <w:rPr>
          <w:rFonts w:ascii="Calibri" w:eastAsia="Times New Roman" w:hAnsi="Calibri" w:cs="Calibri"/>
          <w:kern w:val="0"/>
          <w:sz w:val="20"/>
          <w:szCs w:val="20"/>
          <w:lang w:eastAsia="es-MX"/>
          <w14:ligatures w14:val="none"/>
        </w:rPr>
        <w:t xml:space="preserve"> de Información y Relaciones Institucionales.</w:t>
      </w:r>
    </w:p>
    <w:p w14:paraId="34FA8B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31E1DF7E" w14:textId="26470A72" w:rsidR="00966BB7" w:rsidRDefault="00E67F8D" w:rsidP="00E67F8D">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67F8D">
        <w:rPr>
          <w:rFonts w:ascii="Calibri" w:eastAsia="Times New Roman" w:hAnsi="Calibri" w:cs="Calibri"/>
          <w:color w:val="000000"/>
          <w:kern w:val="0"/>
          <w:sz w:val="20"/>
          <w:szCs w:val="20"/>
          <w:lang w:eastAsia="es-MX"/>
          <w14:ligatures w14:val="none"/>
        </w:rPr>
        <w:t>El indicador se puede calcular de forma agregada a nivel institucional para todos los programas</w:t>
      </w:r>
      <w:r w:rsidR="00FE1738">
        <w:rPr>
          <w:rFonts w:ascii="Calibri" w:eastAsia="Times New Roman" w:hAnsi="Calibri" w:cs="Calibri"/>
          <w:color w:val="000000"/>
          <w:kern w:val="0"/>
          <w:sz w:val="20"/>
          <w:szCs w:val="20"/>
          <w:lang w:eastAsia="es-MX"/>
          <w14:ligatures w14:val="none"/>
        </w:rPr>
        <w:t xml:space="preserve"> de información</w:t>
      </w:r>
      <w:r w:rsidRPr="00E67F8D">
        <w:rPr>
          <w:rFonts w:ascii="Calibri" w:eastAsia="Times New Roman" w:hAnsi="Calibri" w:cs="Calibri"/>
          <w:color w:val="000000"/>
          <w:kern w:val="0"/>
          <w:sz w:val="20"/>
          <w:szCs w:val="20"/>
          <w:lang w:eastAsia="es-MX"/>
          <w14:ligatures w14:val="none"/>
        </w:rPr>
        <w:t>/procesos</w:t>
      </w:r>
      <w:r w:rsidR="00FE1738">
        <w:rPr>
          <w:rFonts w:ascii="Calibri" w:eastAsia="Times New Roman" w:hAnsi="Calibri" w:cs="Calibri"/>
          <w:color w:val="000000"/>
          <w:kern w:val="0"/>
          <w:sz w:val="20"/>
          <w:szCs w:val="20"/>
          <w:lang w:eastAsia="es-MX"/>
          <w14:ligatures w14:val="none"/>
        </w:rPr>
        <w:t xml:space="preserve"> de producción</w:t>
      </w:r>
      <w:r w:rsidRPr="00E67F8D">
        <w:rPr>
          <w:rFonts w:ascii="Calibri" w:eastAsia="Times New Roman" w:hAnsi="Calibri" w:cs="Calibri"/>
          <w:color w:val="000000"/>
          <w:kern w:val="0"/>
          <w:sz w:val="20"/>
          <w:szCs w:val="20"/>
          <w:lang w:eastAsia="es-MX"/>
          <w14:ligatures w14:val="none"/>
        </w:rPr>
        <w:t xml:space="preserve"> incluidos en el IPI, o bien en forma desagregada por unidad administrativa responsable.</w:t>
      </w:r>
    </w:p>
    <w:p w14:paraId="6935F674" w14:textId="77777777" w:rsidR="00E67F8D" w:rsidRDefault="00E67F8D"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1DE04DCF" w14:textId="57F4810A" w:rsidR="009130B0" w:rsidRDefault="009130B0" w:rsidP="00E67F8D">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83696">
        <w:rPr>
          <w:rFonts w:ascii="Calibri" w:eastAsia="Times New Roman" w:hAnsi="Calibri" w:cs="Calibri"/>
          <w:color w:val="000000"/>
          <w:kern w:val="0"/>
          <w:sz w:val="20"/>
          <w:szCs w:val="20"/>
          <w:lang w:eastAsia="es-MX"/>
          <w14:ligatures w14:val="none"/>
        </w:rPr>
        <w:t>El indicador se refiere a los procesos de producción que están comprometidos en el Calendario de Difusión en relación con el total de procesos</w:t>
      </w:r>
      <w:r w:rsidR="00FE1738">
        <w:rPr>
          <w:rFonts w:ascii="Calibri" w:eastAsia="Times New Roman" w:hAnsi="Calibri" w:cs="Calibri"/>
          <w:color w:val="000000"/>
          <w:kern w:val="0"/>
          <w:sz w:val="20"/>
          <w:szCs w:val="20"/>
          <w:lang w:eastAsia="es-MX"/>
          <w14:ligatures w14:val="none"/>
        </w:rPr>
        <w:t xml:space="preserve"> de producción</w:t>
      </w:r>
      <w:r w:rsidRPr="00E83696">
        <w:rPr>
          <w:rFonts w:ascii="Calibri" w:eastAsia="Times New Roman" w:hAnsi="Calibri" w:cs="Calibri"/>
          <w:color w:val="000000"/>
          <w:kern w:val="0"/>
          <w:sz w:val="20"/>
          <w:szCs w:val="20"/>
          <w:lang w:eastAsia="es-MX"/>
          <w14:ligatures w14:val="none"/>
        </w:rPr>
        <w:t xml:space="preserve"> incluidos en el IPI que se publican anualmente en el sitio del INEGI en internet.</w:t>
      </w:r>
    </w:p>
    <w:p w14:paraId="79E35948" w14:textId="77777777" w:rsidR="009130B0" w:rsidRDefault="009130B0" w:rsidP="00E67F8D">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A2CB288" w14:textId="4115BC3D" w:rsidR="00F955C3" w:rsidRDefault="00E67F8D" w:rsidP="00E67F8D">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67F8D">
        <w:rPr>
          <w:rFonts w:ascii="Calibri" w:eastAsia="Times New Roman" w:hAnsi="Calibri" w:cs="Calibri"/>
          <w:color w:val="000000"/>
          <w:kern w:val="0"/>
          <w:sz w:val="20"/>
          <w:szCs w:val="20"/>
          <w:lang w:eastAsia="es-MX"/>
          <w14:ligatures w14:val="none"/>
        </w:rPr>
        <w:t>Conforme a la LSNIEG, en el mes de diciembre de cada año, la Junta de Gobierno aprueba el Calendario de Difusión que establece la fecha y hora de publicación de la información estadística y geográfica y de Interés Nacional para el año siguiente (art. 77, fracción XI). Este Calendario se distribuye vía correo electrónico a usuarios estratégicos: periodistas, analistas, tomadores de decisiones, entre otros. Además, se publica en el sitio del INEGI en Internet. El Calendario de Difusión se revisa de manera trimestral por la Junta de Gobierno del Instituto.</w:t>
      </w:r>
    </w:p>
    <w:p w14:paraId="5DB078CD" w14:textId="77777777" w:rsidR="00E67F8D" w:rsidRDefault="00E67F8D" w:rsidP="00E67F8D">
      <w:pPr>
        <w:pStyle w:val="Prrafodelista"/>
        <w:spacing w:after="0" w:line="240" w:lineRule="auto"/>
        <w:ind w:left="426"/>
        <w:jc w:val="both"/>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1B149B0C" w14:textId="5D145964" w:rsidR="009546E7" w:rsidRDefault="00E67F8D" w:rsidP="00E67F8D">
      <w:pPr>
        <w:spacing w:after="0"/>
        <w:ind w:left="426"/>
        <w:rPr>
          <w:sz w:val="20"/>
          <w:szCs w:val="20"/>
        </w:rPr>
      </w:pPr>
      <w:r w:rsidRPr="00E67F8D">
        <w:rPr>
          <w:rFonts w:ascii="Calibri" w:eastAsia="Times New Roman" w:hAnsi="Calibri" w:cs="Calibri"/>
          <w:color w:val="000000"/>
          <w:kern w:val="0"/>
          <w:sz w:val="20"/>
          <w:szCs w:val="20"/>
          <w:lang w:eastAsia="es-MX"/>
          <w14:ligatures w14:val="none"/>
        </w:rPr>
        <w:t xml:space="preserve">No se cuenta con un valor de referencia, sin embargo, el objetivo es lograr que el 100% de los procesos de </w:t>
      </w:r>
      <w:r>
        <w:rPr>
          <w:rFonts w:ascii="Calibri" w:eastAsia="Times New Roman" w:hAnsi="Calibri" w:cs="Calibri"/>
          <w:color w:val="000000"/>
          <w:kern w:val="0"/>
          <w:sz w:val="20"/>
          <w:szCs w:val="20"/>
          <w:lang w:eastAsia="es-MX"/>
          <w14:ligatures w14:val="none"/>
        </w:rPr>
        <w:t>producción</w:t>
      </w:r>
      <w:r w:rsidRPr="00E67F8D">
        <w:rPr>
          <w:rFonts w:ascii="Calibri" w:eastAsia="Times New Roman" w:hAnsi="Calibri" w:cs="Calibri"/>
          <w:color w:val="000000"/>
          <w:kern w:val="0"/>
          <w:sz w:val="20"/>
          <w:szCs w:val="20"/>
          <w:lang w:eastAsia="es-MX"/>
          <w14:ligatures w14:val="none"/>
        </w:rPr>
        <w:t xml:space="preserve"> se publiquen puntualmente conforme al calendario de difusión.</w:t>
      </w:r>
    </w:p>
    <w:p w14:paraId="30577B53" w14:textId="2A4D92C5" w:rsidR="009546E7" w:rsidRPr="009546E7" w:rsidRDefault="009546E7" w:rsidP="009546E7">
      <w:pPr>
        <w:spacing w:after="0"/>
        <w:rPr>
          <w:sz w:val="20"/>
          <w:szCs w:val="20"/>
        </w:rPr>
      </w:pPr>
    </w:p>
    <w:sectPr w:rsidR="009546E7"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26B84"/>
    <w:multiLevelType w:val="hybridMultilevel"/>
    <w:tmpl w:val="09240C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4"/>
  </w:num>
  <w:num w:numId="2" w16cid:durableId="2067950652">
    <w:abstractNumId w:val="8"/>
  </w:num>
  <w:num w:numId="3" w16cid:durableId="222571677">
    <w:abstractNumId w:val="3"/>
  </w:num>
  <w:num w:numId="4" w16cid:durableId="2024285873">
    <w:abstractNumId w:val="0"/>
  </w:num>
  <w:num w:numId="5" w16cid:durableId="674309550">
    <w:abstractNumId w:val="1"/>
  </w:num>
  <w:num w:numId="6" w16cid:durableId="1151366441">
    <w:abstractNumId w:val="7"/>
  </w:num>
  <w:num w:numId="7" w16cid:durableId="1373924067">
    <w:abstractNumId w:val="5"/>
  </w:num>
  <w:num w:numId="8" w16cid:durableId="435561208">
    <w:abstractNumId w:val="6"/>
  </w:num>
  <w:num w:numId="9" w16cid:durableId="201518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40CD1"/>
    <w:rsid w:val="00063F79"/>
    <w:rsid w:val="0007529F"/>
    <w:rsid w:val="00100E12"/>
    <w:rsid w:val="00120F0A"/>
    <w:rsid w:val="00125E0E"/>
    <w:rsid w:val="001411EC"/>
    <w:rsid w:val="00186E2E"/>
    <w:rsid w:val="00206D7D"/>
    <w:rsid w:val="00294AE7"/>
    <w:rsid w:val="002F23C7"/>
    <w:rsid w:val="0033224A"/>
    <w:rsid w:val="00335E4E"/>
    <w:rsid w:val="003569FC"/>
    <w:rsid w:val="00361BB8"/>
    <w:rsid w:val="003C168B"/>
    <w:rsid w:val="00413993"/>
    <w:rsid w:val="0042050E"/>
    <w:rsid w:val="00437277"/>
    <w:rsid w:val="00444B20"/>
    <w:rsid w:val="00464252"/>
    <w:rsid w:val="004836B2"/>
    <w:rsid w:val="004A0D61"/>
    <w:rsid w:val="004D2E5F"/>
    <w:rsid w:val="005543E8"/>
    <w:rsid w:val="005D330A"/>
    <w:rsid w:val="005D5F63"/>
    <w:rsid w:val="0061336D"/>
    <w:rsid w:val="00634AA4"/>
    <w:rsid w:val="00686C6E"/>
    <w:rsid w:val="006B2E16"/>
    <w:rsid w:val="006B67BC"/>
    <w:rsid w:val="00711025"/>
    <w:rsid w:val="00872EB8"/>
    <w:rsid w:val="008C470B"/>
    <w:rsid w:val="009130B0"/>
    <w:rsid w:val="00942FDF"/>
    <w:rsid w:val="009546E7"/>
    <w:rsid w:val="009637DB"/>
    <w:rsid w:val="00966BB7"/>
    <w:rsid w:val="0097395E"/>
    <w:rsid w:val="00975A34"/>
    <w:rsid w:val="00984084"/>
    <w:rsid w:val="009F0312"/>
    <w:rsid w:val="00BF4A5C"/>
    <w:rsid w:val="00C95376"/>
    <w:rsid w:val="00D274BD"/>
    <w:rsid w:val="00D468DB"/>
    <w:rsid w:val="00DB70C3"/>
    <w:rsid w:val="00E02802"/>
    <w:rsid w:val="00E60E8C"/>
    <w:rsid w:val="00E60F03"/>
    <w:rsid w:val="00E67F8D"/>
    <w:rsid w:val="00E83696"/>
    <w:rsid w:val="00EE62C9"/>
    <w:rsid w:val="00F37A79"/>
    <w:rsid w:val="00F955C3"/>
    <w:rsid w:val="00FB190B"/>
    <w:rsid w:val="00FE1738"/>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3</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34</cp:revision>
  <dcterms:created xsi:type="dcterms:W3CDTF">2025-07-23T17:19:00Z</dcterms:created>
  <dcterms:modified xsi:type="dcterms:W3CDTF">2025-10-09T17:30:00Z</dcterms:modified>
</cp:coreProperties>
</file>